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Calibri" w:cs="Calibri" w:eastAsia="Calibri" w:hAnsi="Calibri"/>
          <w:b w:val="0"/>
          <w:color w:val="000000"/>
          <w:sz w:val="22"/>
          <w:szCs w:val="22"/>
          <w:rtl w:val="0"/>
        </w:rPr>
        <w:t xml:space="preserve"> </w:t>
      </w:r>
      <w:r w:rsidDel="00000000" w:rsidR="00000000" w:rsidRPr="00000000">
        <w:rPr>
          <w:rtl w:val="0"/>
        </w:rPr>
        <w:t xml:space="preserve">Blessed Sacrament Catholic Primary School Pupil Premium Strategy Review </w:t>
      </w:r>
      <w:r w:rsidDel="00000000" w:rsidR="00000000" w:rsidRPr="00000000">
        <w:rPr>
          <w:color w:val="000000"/>
          <w:rtl w:val="0"/>
        </w:rPr>
        <w:t xml:space="preserve"> </w:t>
      </w:r>
      <w:r w:rsidDel="00000000" w:rsidR="00000000" w:rsidRPr="00000000">
        <w:rPr>
          <w:rtl w:val="0"/>
        </w:rPr>
      </w:r>
    </w:p>
    <w:tbl>
      <w:tblPr>
        <w:tblStyle w:val="Table1"/>
        <w:tblW w:w="15416.000000000002" w:type="dxa"/>
        <w:jc w:val="left"/>
        <w:tblInd w:w="-1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58"/>
        <w:gridCol w:w="1277"/>
        <w:gridCol w:w="3632"/>
        <w:gridCol w:w="1471"/>
        <w:gridCol w:w="4820"/>
        <w:gridCol w:w="1558"/>
        <w:tblGridChange w:id="0">
          <w:tblGrid>
            <w:gridCol w:w="2658"/>
            <w:gridCol w:w="1277"/>
            <w:gridCol w:w="3632"/>
            <w:gridCol w:w="1471"/>
            <w:gridCol w:w="4820"/>
            <w:gridCol w:w="1558"/>
          </w:tblGrid>
        </w:tblGridChange>
      </w:tblGrid>
      <w:tr>
        <w:trPr>
          <w:cantSplit w:val="0"/>
          <w:trHeight w:val="331" w:hRule="atLeast"/>
          <w:tblHeader w:val="0"/>
        </w:trPr>
        <w:tc>
          <w:tcPr>
            <w:gridSpan w:val="3"/>
            <w:tcBorders>
              <w:top w:color="000000" w:space="0" w:sz="4" w:val="single"/>
              <w:left w:color="000000" w:space="0" w:sz="4" w:val="single"/>
              <w:bottom w:color="000000" w:space="0" w:sz="4" w:val="single"/>
              <w:right w:color="000000" w:space="0" w:sz="0" w:val="nil"/>
            </w:tcBorders>
            <w:shd w:fill="cfdce3" w:val="clear"/>
          </w:tcPr>
          <w:p w:rsidR="00000000" w:rsidDel="00000000" w:rsidP="00000000" w:rsidRDefault="00000000" w:rsidRPr="00000000" w14:paraId="00000002">
            <w:pPr>
              <w:ind w:left="142" w:firstLine="0"/>
              <w:rPr>
                <w:sz w:val="20"/>
                <w:szCs w:val="20"/>
              </w:rPr>
            </w:pPr>
            <w:r w:rsidDel="00000000" w:rsidR="00000000" w:rsidRPr="00000000">
              <w:rPr>
                <w:color w:val="000000"/>
                <w:sz w:val="20"/>
                <w:szCs w:val="20"/>
                <w:rtl w:val="0"/>
              </w:rPr>
              <w:t xml:space="preserve">1. Summary information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cfdce3" w:val="clear"/>
          </w:tcPr>
          <w:p w:rsidR="00000000" w:rsidDel="00000000" w:rsidP="00000000" w:rsidRDefault="00000000" w:rsidRPr="00000000" w14:paraId="00000005">
            <w:pPr>
              <w:spacing w:after="160" w:lineRule="auto"/>
              <w:rPr>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cfdce3" w:val="clear"/>
          </w:tcPr>
          <w:p w:rsidR="00000000" w:rsidDel="00000000" w:rsidP="00000000" w:rsidRDefault="00000000" w:rsidRPr="00000000" w14:paraId="00000006">
            <w:pPr>
              <w:spacing w:after="160" w:lineRule="auto"/>
              <w:rPr>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cfdce3" w:val="clear"/>
          </w:tcPr>
          <w:p w:rsidR="00000000" w:rsidDel="00000000" w:rsidP="00000000" w:rsidRDefault="00000000" w:rsidRPr="00000000" w14:paraId="00000007">
            <w:pPr>
              <w:spacing w:after="160" w:lineRule="auto"/>
              <w:rPr>
                <w:sz w:val="20"/>
                <w:szCs w:val="20"/>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rPr>
                <w:sz w:val="20"/>
                <w:szCs w:val="20"/>
              </w:rPr>
            </w:pPr>
            <w:r w:rsidDel="00000000" w:rsidR="00000000" w:rsidRPr="00000000">
              <w:rPr>
                <w:color w:val="000000"/>
                <w:sz w:val="20"/>
                <w:szCs w:val="20"/>
                <w:rtl w:val="0"/>
              </w:rPr>
              <w:t xml:space="preserve">School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09">
            <w:pPr>
              <w:ind w:left="1" w:firstLine="0"/>
              <w:jc w:val="both"/>
              <w:rPr>
                <w:sz w:val="20"/>
                <w:szCs w:val="20"/>
              </w:rPr>
            </w:pPr>
            <w:r w:rsidDel="00000000" w:rsidR="00000000" w:rsidRPr="00000000">
              <w:rPr>
                <w:color w:val="000000"/>
                <w:sz w:val="20"/>
                <w:szCs w:val="20"/>
                <w:rtl w:val="0"/>
              </w:rPr>
              <w:t xml:space="preserve">Blessed Sacrament Catholic Primary School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0B">
            <w:pPr>
              <w:spacing w:after="160" w:lineRule="auto"/>
              <w:rPr>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0C">
            <w:pPr>
              <w:spacing w:after="160" w:lineRule="auto"/>
              <w:rPr>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0D">
            <w:pPr>
              <w:spacing w:after="160" w:lineRule="auto"/>
              <w:rPr>
                <w:sz w:val="20"/>
                <w:szCs w:val="20"/>
              </w:rPr>
            </w:pPr>
            <w:r w:rsidDel="00000000" w:rsidR="00000000" w:rsidRPr="00000000">
              <w:rPr>
                <w:rtl w:val="0"/>
              </w:rPr>
            </w:r>
          </w:p>
        </w:tc>
      </w:tr>
      <w:tr>
        <w:trPr>
          <w:cantSplit w:val="0"/>
          <w:trHeight w:val="113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rPr>
                <w:sz w:val="20"/>
                <w:szCs w:val="20"/>
              </w:rPr>
            </w:pPr>
            <w:r w:rsidDel="00000000" w:rsidR="00000000" w:rsidRPr="00000000">
              <w:rPr>
                <w:color w:val="000000"/>
                <w:sz w:val="20"/>
                <w:szCs w:val="20"/>
                <w:rtl w:val="0"/>
              </w:rPr>
              <w:t xml:space="preserve">Academic Year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ind w:left="1" w:firstLine="0"/>
              <w:rPr>
                <w:sz w:val="20"/>
                <w:szCs w:val="20"/>
              </w:rPr>
            </w:pPr>
            <w:r w:rsidDel="00000000" w:rsidR="00000000" w:rsidRPr="00000000">
              <w:rPr>
                <w:sz w:val="20"/>
                <w:szCs w:val="20"/>
                <w:rtl w:val="0"/>
              </w:rPr>
              <w:t xml:space="preserve">2021/2023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ind w:left="1" w:firstLine="0"/>
              <w:rPr>
                <w:sz w:val="20"/>
                <w:szCs w:val="20"/>
              </w:rPr>
            </w:pPr>
            <w:r w:rsidDel="00000000" w:rsidR="00000000" w:rsidRPr="00000000">
              <w:rPr>
                <w:color w:val="000000"/>
                <w:sz w:val="20"/>
                <w:szCs w:val="20"/>
                <w:rtl w:val="0"/>
              </w:rPr>
              <w:t xml:space="preserve">Total PP budget</w:t>
            </w:r>
            <w:r w:rsidDel="00000000" w:rsidR="00000000" w:rsidRPr="00000000">
              <w:rPr>
                <w:b w:val="0"/>
                <w:color w:val="000000"/>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ind w:left="1" w:firstLine="0"/>
              <w:rPr>
                <w:sz w:val="20"/>
                <w:szCs w:val="20"/>
              </w:rPr>
            </w:pPr>
            <w:r w:rsidDel="00000000" w:rsidR="00000000" w:rsidRPr="00000000">
              <w:rPr>
                <w:b w:val="0"/>
                <w:color w:val="000000"/>
                <w:sz w:val="20"/>
                <w:szCs w:val="20"/>
                <w:rtl w:val="0"/>
              </w:rPr>
              <w:t xml:space="preserve"> (including </w:t>
            </w:r>
            <w:r w:rsidDel="00000000" w:rsidR="00000000" w:rsidRPr="00000000">
              <w:rPr>
                <w:rtl w:val="0"/>
              </w:rPr>
            </w:r>
          </w:p>
          <w:p w:rsidR="00000000" w:rsidDel="00000000" w:rsidP="00000000" w:rsidRDefault="00000000" w:rsidRPr="00000000" w14:paraId="00000012">
            <w:pPr>
              <w:ind w:left="1" w:firstLine="0"/>
              <w:rPr>
                <w:sz w:val="20"/>
                <w:szCs w:val="20"/>
              </w:rPr>
            </w:pPr>
            <w:r w:rsidDel="00000000" w:rsidR="00000000" w:rsidRPr="00000000">
              <w:rPr>
                <w:b w:val="0"/>
                <w:color w:val="000000"/>
                <w:sz w:val="20"/>
                <w:szCs w:val="20"/>
                <w:rtl w:val="0"/>
              </w:rPr>
              <w:t xml:space="preserve">LAC PP funding)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ind w:left="1" w:firstLine="0"/>
              <w:rPr>
                <w:sz w:val="20"/>
                <w:szCs w:val="20"/>
              </w:rPr>
            </w:pPr>
            <w:r w:rsidDel="00000000" w:rsidR="00000000" w:rsidRPr="00000000">
              <w:rPr>
                <w:color w:val="000000"/>
                <w:sz w:val="20"/>
                <w:szCs w:val="20"/>
                <w:rtl w:val="0"/>
              </w:rPr>
              <w:t xml:space="preserve">Date of most recent PP Review</w:t>
            </w:r>
            <w:r w:rsidDel="00000000" w:rsidR="00000000" w:rsidRPr="00000000">
              <w:rPr>
                <w:b w:val="0"/>
                <w:color w:val="000000"/>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ind w:left="1" w:firstLine="0"/>
              <w:rPr>
                <w:sz w:val="20"/>
                <w:szCs w:val="20"/>
              </w:rPr>
            </w:pPr>
            <w:r w:rsidDel="00000000" w:rsidR="00000000" w:rsidRPr="00000000">
              <w:rPr>
                <w:b w:val="0"/>
                <w:color w:val="000000"/>
                <w:sz w:val="20"/>
                <w:szCs w:val="20"/>
                <w:rtl w:val="0"/>
              </w:rPr>
              <w:t xml:space="preserve">December 2023 amd ongoing through subject monitoring</w:t>
            </w:r>
            <w:r w:rsidDel="00000000" w:rsidR="00000000" w:rsidRPr="00000000">
              <w:rPr>
                <w:rtl w:val="0"/>
              </w:rPr>
            </w:r>
          </w:p>
        </w:tc>
      </w:tr>
      <w:tr>
        <w:trPr>
          <w:cantSplit w:val="0"/>
          <w:trHeight w:val="37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rPr>
                <w:sz w:val="20"/>
                <w:szCs w:val="20"/>
              </w:rPr>
            </w:pPr>
            <w:r w:rsidDel="00000000" w:rsidR="00000000" w:rsidRPr="00000000">
              <w:rPr>
                <w:color w:val="000000"/>
                <w:sz w:val="20"/>
                <w:szCs w:val="20"/>
                <w:rtl w:val="0"/>
              </w:rPr>
              <w:t xml:space="preserve">Total number of pupils</w:t>
            </w:r>
            <w:r w:rsidDel="00000000" w:rsidR="00000000" w:rsidRPr="00000000">
              <w:rPr>
                <w:b w:val="0"/>
                <w:color w:val="000000"/>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ind w:left="1" w:firstLine="0"/>
              <w:rPr>
                <w:sz w:val="20"/>
                <w:szCs w:val="20"/>
              </w:rPr>
            </w:pPr>
            <w:r w:rsidDel="00000000" w:rsidR="00000000" w:rsidRPr="00000000">
              <w:rPr>
                <w:sz w:val="20"/>
                <w:szCs w:val="20"/>
                <w:rtl w:val="0"/>
              </w:rPr>
              <w:t xml:space="preserve">721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ind w:left="1" w:firstLine="0"/>
              <w:rPr>
                <w:sz w:val="20"/>
                <w:szCs w:val="20"/>
              </w:rPr>
            </w:pPr>
            <w:r w:rsidDel="00000000" w:rsidR="00000000" w:rsidRPr="00000000">
              <w:rPr>
                <w:color w:val="000000"/>
                <w:sz w:val="20"/>
                <w:szCs w:val="20"/>
                <w:rtl w:val="0"/>
              </w:rPr>
              <w:t xml:space="preserve">% pupils eligible for PP</w:t>
            </w:r>
            <w:r w:rsidDel="00000000" w:rsidR="00000000" w:rsidRPr="00000000">
              <w:rPr>
                <w:b w:val="0"/>
                <w:color w:val="000000"/>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ind w:left="1" w:firstLine="0"/>
              <w:rPr>
                <w:sz w:val="20"/>
                <w:szCs w:val="20"/>
              </w:rPr>
            </w:pPr>
            <w:r w:rsidDel="00000000" w:rsidR="00000000" w:rsidRPr="00000000">
              <w:rPr>
                <w:sz w:val="20"/>
                <w:szCs w:val="20"/>
                <w:rtl w:val="0"/>
              </w:rPr>
              <w:t xml:space="preserve">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ind w:left="1" w:firstLine="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ind w:left="1" w:firstLine="0"/>
              <w:rPr>
                <w:sz w:val="20"/>
                <w:szCs w:val="20"/>
              </w:rPr>
            </w:pPr>
            <w:r w:rsidDel="00000000" w:rsidR="00000000" w:rsidRPr="00000000">
              <w:rPr>
                <w:rtl w:val="0"/>
              </w:rPr>
            </w:r>
          </w:p>
        </w:tc>
      </w:tr>
    </w:tbl>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2"/>
        <w:tblW w:w="1530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304"/>
        <w:tblGridChange w:id="0">
          <w:tblGrid>
            <w:gridCol w:w="15304"/>
          </w:tblGrid>
        </w:tblGridChange>
      </w:tblGrid>
      <w:tr>
        <w:trPr>
          <w:cantSplit w:val="0"/>
          <w:tblHeader w:val="0"/>
        </w:trPr>
        <w:tc>
          <w:tcPr/>
          <w:p w:rsidR="00000000" w:rsidDel="00000000" w:rsidP="00000000" w:rsidRDefault="00000000" w:rsidRPr="00000000" w14:paraId="0000001C">
            <w:pPr>
              <w:shd w:fill="f3f3f3" w:val="clear"/>
              <w:rPr>
                <w:rFonts w:ascii="Calibri" w:cs="Calibri" w:eastAsia="Calibri" w:hAnsi="Calibri"/>
                <w:b w:val="0"/>
                <w:color w:val="000000"/>
                <w:sz w:val="22"/>
                <w:szCs w:val="22"/>
              </w:rPr>
            </w:pPr>
            <w:r w:rsidDel="00000000" w:rsidR="00000000" w:rsidRPr="00000000">
              <w:rPr>
                <w:rFonts w:ascii="Calibri" w:cs="Calibri" w:eastAsia="Calibri" w:hAnsi="Calibri"/>
                <w:color w:val="000000"/>
                <w:sz w:val="22"/>
                <w:szCs w:val="22"/>
                <w:rtl w:val="0"/>
              </w:rPr>
              <w:t xml:space="preserve">Teaching and Targeted Support</w:t>
            </w:r>
            <w:r w:rsidDel="00000000" w:rsidR="00000000" w:rsidRPr="00000000">
              <w:rPr>
                <w:rtl w:val="0"/>
              </w:rPr>
            </w:r>
          </w:p>
          <w:p w:rsidR="00000000" w:rsidDel="00000000" w:rsidP="00000000" w:rsidRDefault="00000000" w:rsidRPr="00000000" w14:paraId="0000001D">
            <w:pPr>
              <w:shd w:fill="f3f3f3" w:val="clear"/>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Our internal assessment systems for 2021/22  suggests  that by the end of year 6  the  PP children were performing below their peers. </w:t>
            </w:r>
          </w:p>
          <w:tbl>
            <w:tblPr>
              <w:tblStyle w:val="Table3"/>
              <w:tblW w:w="151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20.8"/>
              <w:gridCol w:w="3020.8"/>
              <w:gridCol w:w="3020.8"/>
              <w:gridCol w:w="3020.8"/>
              <w:gridCol w:w="3020.8"/>
              <w:tblGridChange w:id="0">
                <w:tblGrid>
                  <w:gridCol w:w="3020.8"/>
                  <w:gridCol w:w="3020.8"/>
                  <w:gridCol w:w="3020.8"/>
                  <w:gridCol w:w="3020.8"/>
                  <w:gridCol w:w="3020.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color w:val="000000"/>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Maths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 RWM Combined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79%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71%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80%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Pupil Premium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68%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68%</w:t>
                  </w:r>
                </w:p>
              </w:tc>
            </w:tr>
          </w:tbl>
          <w:p w:rsidR="00000000" w:rsidDel="00000000" w:rsidP="00000000" w:rsidRDefault="00000000" w:rsidRPr="00000000" w14:paraId="0000002D">
            <w:pPr>
              <w:shd w:fill="f3f3f3" w:val="clear"/>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All children have access to rigorous intervention alongside flexible when appropriate with a focus on PP. Work will continue to  further develop a sharp focus on basic skills across the school. The new strategy will continue to diminish the difference.</w:t>
            </w:r>
          </w:p>
          <w:p w:rsidR="00000000" w:rsidDel="00000000" w:rsidP="00000000" w:rsidRDefault="00000000" w:rsidRPr="00000000" w14:paraId="0000002E">
            <w:pPr>
              <w:shd w:fill="f3f3f3" w:val="clea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F">
            <w:pPr>
              <w:shd w:fill="f3f3f3" w:val="clear"/>
              <w:rPr>
                <w:rFonts w:ascii="Calibri" w:cs="Calibri" w:eastAsia="Calibri" w:hAnsi="Calibri"/>
                <w:b w:val="0"/>
                <w:color w:val="000000"/>
                <w:sz w:val="22"/>
                <w:szCs w:val="22"/>
              </w:rPr>
            </w:pPr>
            <w:r w:rsidDel="00000000" w:rsidR="00000000" w:rsidRPr="00000000">
              <w:rPr>
                <w:rFonts w:ascii="Calibri" w:cs="Calibri" w:eastAsia="Calibri" w:hAnsi="Calibri"/>
                <w:color w:val="000000"/>
                <w:sz w:val="22"/>
                <w:szCs w:val="22"/>
                <w:rtl w:val="0"/>
              </w:rPr>
              <w:t xml:space="preserve">Wider Strategies</w:t>
            </w:r>
            <w:r w:rsidDel="00000000" w:rsidR="00000000" w:rsidRPr="00000000">
              <w:rPr>
                <w:rtl w:val="0"/>
              </w:rPr>
            </w:r>
          </w:p>
          <w:p w:rsidR="00000000" w:rsidDel="00000000" w:rsidP="00000000" w:rsidRDefault="00000000" w:rsidRPr="00000000" w14:paraId="00000030">
            <w:pPr>
              <w:shd w:fill="f3f3f3" w:val="clear"/>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Our assessments and observations indicated that pupil behaviours, wellbeing and mental health were significantly impacted over the last years due to COVID 19 related issues. The impact was particularly acute for disadvantaged pupils. We used pupil premium funding to provide support for all pupils and targeted interventions where required. We are building on the activities in this plan with the further use of roar across the school. We are building upon the approaches as described in the plan. We have implemented a successful transition system which has had a positive impact across the school. </w:t>
            </w:r>
          </w:p>
          <w:p w:rsidR="00000000" w:rsidDel="00000000" w:rsidP="00000000" w:rsidRDefault="00000000" w:rsidRPr="00000000" w14:paraId="00000031">
            <w:pPr>
              <w:shd w:fill="f3f3f3" w:val="clear"/>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032">
            <w:pPr>
              <w:shd w:fill="f3f3f3" w:val="clea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Attendance actions</w:t>
            </w:r>
          </w:p>
          <w:p w:rsidR="00000000" w:rsidDel="00000000" w:rsidP="00000000" w:rsidRDefault="00000000" w:rsidRPr="00000000" w14:paraId="00000033">
            <w:pPr>
              <w:shd w:fill="f3f3f3" w:val="clear"/>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Attendance is still a key priority for development in BSCPS and actions will continue to be further developed.</w:t>
            </w:r>
          </w:p>
          <w:p w:rsidR="00000000" w:rsidDel="00000000" w:rsidP="00000000" w:rsidRDefault="00000000" w:rsidRPr="00000000" w14:paraId="00000034">
            <w:pPr>
              <w:shd w:fill="f3f3f3" w:val="clea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5">
            <w:pPr>
              <w:shd w:fill="f3f3f3" w:val="clea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36">
            <w:pPr>
              <w:shd w:fill="f3f3f3" w:val="clea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7">
            <w:pPr>
              <w:shd w:fill="f3f3f3" w:val="clear"/>
              <w:rPr>
                <w:rFonts w:ascii="Tahoma" w:cs="Tahoma" w:eastAsia="Tahoma" w:hAnsi="Tahoma"/>
                <w:b w:val="0"/>
                <w:color w:val="000000"/>
                <w:sz w:val="24"/>
                <w:szCs w:val="24"/>
              </w:rPr>
            </w:pPr>
            <w:r w:rsidDel="00000000" w:rsidR="00000000" w:rsidRPr="00000000">
              <w:rPr>
                <w:rFonts w:ascii="Calibri" w:cs="Calibri" w:eastAsia="Calibri" w:hAnsi="Calibri"/>
                <w:b w:val="0"/>
                <w:color w:val="000000"/>
                <w:sz w:val="22"/>
                <w:szCs w:val="22"/>
                <w:rtl w:val="0"/>
              </w:rPr>
              <w:t xml:space="preserve">Our 3 Yearly Strategy will be scrutinised by our Governing Body in Spring  2024. We are confident that the reviewed plan will enable us over time to implement our carefully chosen evidence-informed strategies that result in a closing of existing attainment gaps. The new  plan will continue to be regularly reviewed in each year of </w:t>
            </w:r>
            <w:r w:rsidDel="00000000" w:rsidR="00000000" w:rsidRPr="00000000">
              <w:rPr>
                <w:b w:val="0"/>
                <w:color w:val="000000"/>
                <w:sz w:val="20"/>
                <w:szCs w:val="20"/>
                <w:rtl w:val="0"/>
              </w:rPr>
              <w:t xml:space="preserve">its cycle.</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tc>
      </w:tr>
    </w:tbl>
    <w:p w:rsidR="00000000" w:rsidDel="00000000" w:rsidP="00000000" w:rsidRDefault="00000000" w:rsidRPr="00000000" w14:paraId="00000039">
      <w:pPr>
        <w:rPr/>
      </w:pPr>
      <w:r w:rsidDel="00000000" w:rsidR="00000000" w:rsidRPr="00000000">
        <w:rPr>
          <w:b w:val="0"/>
          <w:color w:val="000000"/>
          <w:sz w:val="16"/>
          <w:szCs w:val="16"/>
          <w:rtl w:val="0"/>
        </w:rPr>
        <w:t xml:space="preserve"> </w:t>
      </w:r>
      <w:r w:rsidDel="00000000" w:rsidR="00000000" w:rsidRPr="00000000">
        <w:rPr>
          <w:rtl w:val="0"/>
        </w:rPr>
      </w:r>
    </w:p>
    <w:p w:rsidR="00000000" w:rsidDel="00000000" w:rsidP="00000000" w:rsidRDefault="00000000" w:rsidRPr="00000000" w14:paraId="0000003A">
      <w:pPr>
        <w:rPr/>
      </w:pPr>
      <w:r w:rsidDel="00000000" w:rsidR="00000000" w:rsidRPr="00000000">
        <w:rPr>
          <w:b w:val="0"/>
          <w:color w:val="000000"/>
          <w:sz w:val="16"/>
          <w:szCs w:val="16"/>
          <w:rtl w:val="0"/>
        </w:rPr>
        <w:t xml:space="preserve">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Fonts w:ascii="Calibri" w:cs="Calibri" w:eastAsia="Calibri" w:hAnsi="Calibri"/>
          <w:b w:val="0"/>
          <w:color w:val="000000"/>
          <w:sz w:val="22"/>
          <w:szCs w:val="22"/>
          <w:rtl w:val="0"/>
        </w:rPr>
        <w:t xml:space="preserve"> </w:t>
      </w: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 </w:t>
      </w:r>
    </w:p>
    <w:p w:rsidR="00000000" w:rsidDel="00000000" w:rsidP="00000000" w:rsidRDefault="00000000" w:rsidRPr="00000000" w14:paraId="0000003E">
      <w:pPr>
        <w:jc w:val="both"/>
        <w:rPr/>
      </w:pPr>
      <w:bookmarkStart w:colFirst="0" w:colLast="0" w:name="_heading=h.gjdgxs" w:id="0"/>
      <w:bookmarkEnd w:id="0"/>
      <w:r w:rsidDel="00000000" w:rsidR="00000000" w:rsidRPr="00000000">
        <w:rPr>
          <w:rFonts w:ascii="Calibri" w:cs="Calibri" w:eastAsia="Calibri" w:hAnsi="Calibri"/>
          <w:b w:val="0"/>
          <w:color w:val="000000"/>
          <w:sz w:val="22"/>
          <w:szCs w:val="22"/>
          <w:rtl w:val="0"/>
        </w:rPr>
        <w:tab/>
        <w:t xml:space="preserve"> </w:t>
      </w:r>
      <w:r w:rsidDel="00000000" w:rsidR="00000000" w:rsidRPr="00000000">
        <w:rPr>
          <w:rtl w:val="0"/>
        </w:rPr>
      </w:r>
    </w:p>
    <w:sectPr>
      <w:pgSz w:h="11906" w:w="16838" w:orient="landscape"/>
      <w:pgMar w:bottom="812" w:top="684" w:left="852" w:right="23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color w:val="104f75"/>
        <w:sz w:val="36"/>
        <w:szCs w:val="36"/>
        <w:lang w:val="en-GB"/>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0"/>
    </w:pPr>
    <w:rPr>
      <w:rFonts w:ascii="Arial" w:cs="Arial" w:eastAsia="Arial" w:hAnsi="Arial"/>
      <w:b w:val="1"/>
      <w:color w:val="104f75"/>
      <w:sz w:val="3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customStyle="1">
    <w:name w:val="TableGrid"/>
    <w:pPr>
      <w:spacing w:after="0" w:line="240" w:lineRule="auto"/>
    </w:pPr>
    <w:tblPr>
      <w:tblCellMar>
        <w:top w:w="0.0" w:type="dxa"/>
        <w:left w:w="0.0" w:type="dxa"/>
        <w:bottom w:w="0.0" w:type="dxa"/>
        <w:right w:w="0.0" w:type="dxa"/>
      </w:tblCellMar>
    </w:tblPr>
  </w:style>
  <w:style w:type="table" w:styleId="TableGrid0">
    <w:name w:val="Table Grid"/>
    <w:basedOn w:val="TableNormal"/>
    <w:uiPriority w:val="39"/>
    <w:rsid w:val="00FD6069"/>
    <w:pPr>
      <w:spacing w:after="0" w:line="240" w:lineRule="auto"/>
    </w:pPr>
    <w:rPr>
      <w:rFonts w:eastAsiaTheme="minorHAnsi"/>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586438"/>
    <w:pPr>
      <w:ind w:left="720"/>
      <w:contextualSpacing w:val="1"/>
    </w:pPr>
  </w:style>
  <w:style w:type="paragraph" w:styleId="BalloonText">
    <w:name w:val="Balloon Text"/>
    <w:basedOn w:val="Normal"/>
    <w:link w:val="BalloonTextChar"/>
    <w:uiPriority w:val="99"/>
    <w:semiHidden w:val="1"/>
    <w:unhideWhenUsed w:val="1"/>
    <w:rsid w:val="00D95059"/>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95059"/>
    <w:rPr>
      <w:rFonts w:ascii="Segoe UI" w:cs="Segoe UI" w:eastAsia="Arial" w:hAnsi="Segoe UI"/>
      <w:b w:val="1"/>
      <w:color w:val="104f75"/>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41.0" w:type="dxa"/>
        <w:left w:w="107.0" w:type="dxa"/>
        <w:bottom w:w="0.0" w:type="dxa"/>
        <w:right w:w="66.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glBIxAIyquWifGSWfyuVZKopsw==">CgMxLjAyCGguZ2pkZ3hzOAByITFhWmZySWJfZEhlNVNFTjRUelZZUlpNdXBJWFllcUR3dQ==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2020-12-02T09:28:00Z</dcterms:created>
  <dc:creator>Josephine Martin</dc:creator>
</cp:coreProperties>
</file>